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sz w:val="24"/>
          <w:szCs w:val="24"/>
          <w:lang w:eastAsia="zh-CN"/>
        </w:rPr>
      </w:pPr>
      <w:r>
        <w:rPr>
          <w:rFonts w:hint="eastAsia" w:ascii="仿宋_GB2312" w:eastAsia="仿宋_GB2312"/>
          <w:b/>
          <w:sz w:val="30"/>
          <w:szCs w:val="30"/>
        </w:rPr>
        <w:t>教学团队验收</w:t>
      </w:r>
      <w:r>
        <w:rPr>
          <w:rFonts w:hint="eastAsia" w:ascii="仿宋_GB2312" w:eastAsia="仿宋_GB2312"/>
          <w:b/>
          <w:sz w:val="30"/>
          <w:szCs w:val="30"/>
          <w:lang w:eastAsia="zh-CN"/>
        </w:rPr>
        <w:t>指标</w:t>
      </w:r>
      <w:bookmarkStart w:id="0" w:name="_GoBack"/>
      <w:bookmarkEnd w:id="0"/>
    </w:p>
    <w:tbl>
      <w:tblPr>
        <w:tblStyle w:val="5"/>
        <w:tblW w:w="14664" w:type="dxa"/>
        <w:jc w:val="center"/>
        <w:tblLayout w:type="fixed"/>
        <w:tblCellMar>
          <w:top w:w="0" w:type="dxa"/>
          <w:left w:w="0" w:type="dxa"/>
          <w:bottom w:w="0" w:type="dxa"/>
          <w:right w:w="0" w:type="dxa"/>
        </w:tblCellMar>
      </w:tblPr>
      <w:tblGrid>
        <w:gridCol w:w="2422"/>
        <w:gridCol w:w="2129"/>
        <w:gridCol w:w="10113"/>
      </w:tblGrid>
      <w:tr>
        <w:tblPrEx>
          <w:tblCellMar>
            <w:top w:w="0" w:type="dxa"/>
            <w:left w:w="0" w:type="dxa"/>
            <w:bottom w:w="0" w:type="dxa"/>
            <w:right w:w="0" w:type="dxa"/>
          </w:tblCellMar>
        </w:tblPrEx>
        <w:trPr>
          <w:cantSplit/>
          <w:trHeight w:val="426" w:hRule="atLeast"/>
          <w:jc w:val="center"/>
        </w:trPr>
        <w:tc>
          <w:tcPr>
            <w:tcW w:w="2422" w:type="dxa"/>
            <w:tcBorders>
              <w:top w:val="single" w:color="auto" w:sz="12" w:space="0"/>
              <w:left w:val="single" w:color="auto" w:sz="12" w:space="0"/>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b/>
                <w:bCs/>
                <w:sz w:val="24"/>
                <w:szCs w:val="24"/>
              </w:rPr>
              <w:t>一级指标</w:t>
            </w:r>
          </w:p>
        </w:tc>
        <w:tc>
          <w:tcPr>
            <w:tcW w:w="2129" w:type="dxa"/>
            <w:tcBorders>
              <w:top w:val="single" w:color="auto" w:sz="12" w:space="0"/>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b/>
                <w:bCs/>
                <w:sz w:val="24"/>
                <w:szCs w:val="24"/>
              </w:rPr>
              <w:t>二级指标</w:t>
            </w:r>
          </w:p>
        </w:tc>
        <w:tc>
          <w:tcPr>
            <w:tcW w:w="10113" w:type="dxa"/>
            <w:tcBorders>
              <w:top w:val="single" w:color="auto" w:sz="12" w:space="0"/>
              <w:left w:val="nil"/>
              <w:bottom w:val="single" w:color="auto" w:sz="8" w:space="0"/>
              <w:right w:val="single" w:color="auto" w:sz="12"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b/>
                <w:bCs/>
                <w:sz w:val="24"/>
                <w:szCs w:val="24"/>
              </w:rPr>
              <w:t>评　审　标　准</w:t>
            </w:r>
          </w:p>
        </w:tc>
      </w:tr>
      <w:tr>
        <w:tblPrEx>
          <w:tblCellMar>
            <w:top w:w="0" w:type="dxa"/>
            <w:left w:w="0" w:type="dxa"/>
            <w:bottom w:w="0" w:type="dxa"/>
            <w:right w:w="0" w:type="dxa"/>
          </w:tblCellMar>
        </w:tblPrEx>
        <w:trPr>
          <w:cantSplit/>
          <w:trHeight w:val="1432" w:hRule="atLeast"/>
          <w:jc w:val="center"/>
        </w:trPr>
        <w:tc>
          <w:tcPr>
            <w:tcW w:w="2422" w:type="dxa"/>
            <w:vMerge w:val="restart"/>
            <w:tcBorders>
              <w:top w:val="nil"/>
              <w:left w:val="single" w:color="auto" w:sz="12" w:space="0"/>
              <w:bottom w:val="single" w:color="auto" w:sz="8" w:space="0"/>
              <w:right w:val="single" w:color="auto" w:sz="8" w:space="0"/>
            </w:tcBorders>
            <w:tcMar>
              <w:top w:w="0" w:type="dxa"/>
              <w:left w:w="11" w:type="dxa"/>
              <w:bottom w:w="0" w:type="dxa"/>
              <w:right w:w="11" w:type="dxa"/>
            </w:tcMar>
            <w:vAlign w:val="center"/>
          </w:tcPr>
          <w:p>
            <w:pPr>
              <w:numPr>
                <w:ilvl w:val="0"/>
                <w:numId w:val="1"/>
              </w:numPr>
              <w:rPr>
                <w:rFonts w:ascii="仿宋_GB2312" w:eastAsia="仿宋_GB2312"/>
                <w:sz w:val="24"/>
                <w:szCs w:val="24"/>
              </w:rPr>
            </w:pPr>
            <w:r>
              <w:rPr>
                <w:rFonts w:hint="eastAsia" w:ascii="仿宋_GB2312" w:eastAsia="仿宋_GB2312"/>
                <w:bCs/>
                <w:sz w:val="24"/>
                <w:szCs w:val="24"/>
              </w:rPr>
              <w:t>团队建设</w:t>
            </w: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团队建设基础</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建设单位与教研室、研究所、实验室、教学基地、实训基地和工程中心等组织机构建设紧密结合，设置合理；以系列课程或专业搭建的团队建设平台，符合学校课程建设和学科（专业）建设的实际；团队具有多年教学改革与实践的基础，团队成员的教学水平和科研水平高；团队教风建设成效明显，师德高尚，教书育人氛围好，整体教学效果优良。</w:t>
            </w:r>
          </w:p>
        </w:tc>
      </w:tr>
      <w:tr>
        <w:tblPrEx>
          <w:tblCellMar>
            <w:top w:w="0" w:type="dxa"/>
            <w:left w:w="0" w:type="dxa"/>
            <w:bottom w:w="0" w:type="dxa"/>
            <w:right w:w="0" w:type="dxa"/>
          </w:tblCellMar>
        </w:tblPrEx>
        <w:trPr>
          <w:cantSplit/>
          <w:trHeight w:val="1223" w:hRule="atLeast"/>
          <w:jc w:val="center"/>
        </w:trPr>
        <w:tc>
          <w:tcPr>
            <w:tcW w:w="2422" w:type="dxa"/>
            <w:vMerge w:val="continue"/>
            <w:tcBorders>
              <w:top w:val="nil"/>
              <w:left w:val="single" w:color="auto" w:sz="12" w:space="0"/>
              <w:bottom w:val="single" w:color="auto" w:sz="8" w:space="0"/>
              <w:right w:val="single" w:color="auto" w:sz="8" w:space="0"/>
            </w:tcBorders>
            <w:vAlign w:val="center"/>
          </w:tcPr>
          <w:p>
            <w:pPr>
              <w:rPr>
                <w:rFonts w:ascii="仿宋_GB2312" w:eastAsia="仿宋_GB2312"/>
                <w:sz w:val="24"/>
                <w:szCs w:val="24"/>
              </w:rPr>
            </w:pP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团队结构</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团队具有良好的梯队结构，老、中、青结合，可持续发展趋势好；团队学缘结构、职称结构、知识结构合理，规模适度；团队成员整体素质高，具有博士及以上学位教师的比例高，具有良好的合作精神。</w:t>
            </w:r>
          </w:p>
        </w:tc>
      </w:tr>
      <w:tr>
        <w:tblPrEx>
          <w:tblCellMar>
            <w:top w:w="0" w:type="dxa"/>
            <w:left w:w="0" w:type="dxa"/>
            <w:bottom w:w="0" w:type="dxa"/>
            <w:right w:w="0" w:type="dxa"/>
          </w:tblCellMar>
        </w:tblPrEx>
        <w:trPr>
          <w:cantSplit/>
          <w:trHeight w:val="1195" w:hRule="atLeast"/>
          <w:jc w:val="center"/>
        </w:trPr>
        <w:tc>
          <w:tcPr>
            <w:tcW w:w="2422" w:type="dxa"/>
            <w:vMerge w:val="restart"/>
            <w:tcBorders>
              <w:top w:val="nil"/>
              <w:left w:val="single" w:color="auto" w:sz="12" w:space="0"/>
              <w:bottom w:val="single" w:color="auto" w:sz="8" w:space="0"/>
              <w:right w:val="single" w:color="auto" w:sz="8"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 </w:t>
            </w:r>
          </w:p>
          <w:p>
            <w:pPr>
              <w:rPr>
                <w:rFonts w:ascii="仿宋_GB2312" w:eastAsia="仿宋_GB2312"/>
                <w:sz w:val="24"/>
                <w:szCs w:val="24"/>
              </w:rPr>
            </w:pPr>
            <w:r>
              <w:rPr>
                <w:rFonts w:hint="eastAsia" w:ascii="仿宋_GB2312" w:eastAsia="仿宋_GB2312"/>
                <w:bCs/>
                <w:sz w:val="24"/>
                <w:szCs w:val="24"/>
              </w:rPr>
              <w:t>⒉团队带头人</w:t>
            </w:r>
          </w:p>
          <w:p>
            <w:pPr>
              <w:rPr>
                <w:rFonts w:ascii="仿宋_GB2312" w:eastAsia="仿宋_GB2312"/>
                <w:sz w:val="24"/>
                <w:szCs w:val="24"/>
              </w:rPr>
            </w:pPr>
            <w:r>
              <w:rPr>
                <w:rFonts w:hint="eastAsia" w:ascii="仿宋_GB2312" w:eastAsia="仿宋_GB2312"/>
                <w:sz w:val="24"/>
                <w:szCs w:val="24"/>
              </w:rPr>
              <w:t> </w:t>
            </w: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学术地位</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带头人应为本学科(专业)领域的专家，教授职称，具有较强的指导研究生和青年教师的能力；近五年主持省部级以上科研项目多，具有较高的学术水平，形成独有建树的学术思想，为本学科发展做出较突出的贡献。</w:t>
            </w:r>
          </w:p>
        </w:tc>
      </w:tr>
      <w:tr>
        <w:tblPrEx>
          <w:tblCellMar>
            <w:top w:w="0" w:type="dxa"/>
            <w:left w:w="0" w:type="dxa"/>
            <w:bottom w:w="0" w:type="dxa"/>
            <w:right w:w="0" w:type="dxa"/>
          </w:tblCellMar>
        </w:tblPrEx>
        <w:trPr>
          <w:cantSplit/>
          <w:trHeight w:val="1197" w:hRule="atLeast"/>
          <w:jc w:val="center"/>
        </w:trPr>
        <w:tc>
          <w:tcPr>
            <w:tcW w:w="2422" w:type="dxa"/>
            <w:vMerge w:val="continue"/>
            <w:tcBorders>
              <w:top w:val="nil"/>
              <w:left w:val="single" w:color="auto" w:sz="12" w:space="0"/>
              <w:bottom w:val="single" w:color="auto" w:sz="8" w:space="0"/>
              <w:right w:val="single" w:color="auto" w:sz="8" w:space="0"/>
            </w:tcBorders>
            <w:vAlign w:val="center"/>
          </w:tcPr>
          <w:p>
            <w:pPr>
              <w:rPr>
                <w:rFonts w:ascii="仿宋_GB2312" w:eastAsia="仿宋_GB2312"/>
                <w:sz w:val="24"/>
                <w:szCs w:val="24"/>
              </w:rPr>
            </w:pP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学术成果</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近五年主持过省部级以上教改项目、精品开放课程或主编过省级以上精品教材或国际规划教材，取得的成果在同领域学科专业内影响力较大；教学工作成绩突出，获得的其它省部级以上教学奖励；作为主要完成人获得过省部级以上教学成果奖或获得省级以上教学名师称号。</w:t>
            </w:r>
          </w:p>
        </w:tc>
      </w:tr>
      <w:tr>
        <w:tblPrEx>
          <w:tblCellMar>
            <w:top w:w="0" w:type="dxa"/>
            <w:left w:w="0" w:type="dxa"/>
            <w:bottom w:w="0" w:type="dxa"/>
            <w:right w:w="0" w:type="dxa"/>
          </w:tblCellMar>
        </w:tblPrEx>
        <w:trPr>
          <w:cantSplit/>
          <w:trHeight w:val="1199" w:hRule="atLeast"/>
          <w:jc w:val="center"/>
        </w:trPr>
        <w:tc>
          <w:tcPr>
            <w:tcW w:w="2422" w:type="dxa"/>
            <w:vMerge w:val="continue"/>
            <w:tcBorders>
              <w:top w:val="nil"/>
              <w:left w:val="single" w:color="auto" w:sz="12" w:space="0"/>
              <w:bottom w:val="single" w:color="auto" w:sz="4" w:space="0"/>
              <w:right w:val="single" w:color="auto" w:sz="8" w:space="0"/>
            </w:tcBorders>
            <w:vAlign w:val="center"/>
          </w:tcPr>
          <w:p>
            <w:pPr>
              <w:rPr>
                <w:rFonts w:ascii="仿宋_GB2312" w:eastAsia="仿宋_GB2312"/>
                <w:sz w:val="24"/>
                <w:szCs w:val="24"/>
              </w:rPr>
            </w:pP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课程建设与授课</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带头人长期致力于团队课程建设并做出重要贡献，熟悉本学科专业及课程体系的教育教学改革趋势，或主持过省级以上有关教学内容与课程体系改革的项目；承担团队核心课程主讲任务，坚持每学年在本校为本科生讲授专业课一门以上，教学效果优秀。</w:t>
            </w:r>
          </w:p>
        </w:tc>
      </w:tr>
      <w:tr>
        <w:tblPrEx>
          <w:tblCellMar>
            <w:top w:w="0" w:type="dxa"/>
            <w:left w:w="0" w:type="dxa"/>
            <w:bottom w:w="0" w:type="dxa"/>
            <w:right w:w="0" w:type="dxa"/>
          </w:tblCellMar>
        </w:tblPrEx>
        <w:trPr>
          <w:cantSplit/>
          <w:trHeight w:val="1116" w:hRule="atLeast"/>
          <w:jc w:val="center"/>
        </w:trPr>
        <w:tc>
          <w:tcPr>
            <w:tcW w:w="2422" w:type="dxa"/>
            <w:vMerge w:val="restart"/>
            <w:tcBorders>
              <w:top w:val="single" w:color="auto" w:sz="4" w:space="0"/>
              <w:left w:val="single" w:color="auto" w:sz="4" w:space="0"/>
              <w:right w:val="single" w:color="auto" w:sz="4"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bCs/>
                <w:sz w:val="24"/>
                <w:szCs w:val="24"/>
              </w:rPr>
              <w:t>3．团队教学工作</w:t>
            </w:r>
          </w:p>
        </w:tc>
        <w:tc>
          <w:tcPr>
            <w:tcW w:w="2129" w:type="dxa"/>
            <w:tcBorders>
              <w:top w:val="single" w:color="auto" w:sz="4" w:space="0"/>
              <w:left w:val="single" w:color="auto" w:sz="4" w:space="0"/>
              <w:right w:val="single" w:color="auto" w:sz="4"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教学资源建设</w:t>
            </w:r>
          </w:p>
        </w:tc>
        <w:tc>
          <w:tcPr>
            <w:tcW w:w="10113" w:type="dxa"/>
            <w:tcBorders>
              <w:top w:val="single" w:color="auto" w:sz="4" w:space="0"/>
              <w:left w:val="single" w:color="auto" w:sz="4" w:space="0"/>
              <w:bottom w:val="single" w:color="auto" w:sz="4" w:space="0"/>
              <w:right w:val="single" w:color="auto" w:sz="4"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课程体系科学、完整；专业课程的教学内容能够反映行业现状、追踪学科（专业）前沿。出台教材编写规划和鼓励教材研究的政策、措施；近五年承担过国家级规划教材主编任务，教材出版层次高。自编教材特色鲜明，使用效果好。</w:t>
            </w:r>
          </w:p>
        </w:tc>
      </w:tr>
      <w:tr>
        <w:tblPrEx>
          <w:tblCellMar>
            <w:top w:w="0" w:type="dxa"/>
            <w:left w:w="0" w:type="dxa"/>
            <w:bottom w:w="0" w:type="dxa"/>
            <w:right w:w="0" w:type="dxa"/>
          </w:tblCellMar>
        </w:tblPrEx>
        <w:trPr>
          <w:cantSplit/>
          <w:trHeight w:val="1424" w:hRule="atLeast"/>
          <w:jc w:val="center"/>
        </w:trPr>
        <w:tc>
          <w:tcPr>
            <w:tcW w:w="2422" w:type="dxa"/>
            <w:vMerge w:val="continue"/>
            <w:tcBorders>
              <w:left w:val="single" w:color="auto" w:sz="4" w:space="0"/>
              <w:right w:val="single" w:color="auto" w:sz="4" w:space="0"/>
            </w:tcBorders>
            <w:tcMar>
              <w:top w:w="0" w:type="dxa"/>
              <w:left w:w="11" w:type="dxa"/>
              <w:bottom w:w="0" w:type="dxa"/>
              <w:right w:w="11" w:type="dxa"/>
            </w:tcMar>
            <w:vAlign w:val="center"/>
          </w:tcPr>
          <w:p>
            <w:pPr>
              <w:rPr>
                <w:rFonts w:ascii="仿宋_GB2312" w:eastAsia="仿宋_GB2312"/>
                <w:sz w:val="24"/>
                <w:szCs w:val="24"/>
              </w:rPr>
            </w:pPr>
          </w:p>
        </w:tc>
        <w:tc>
          <w:tcPr>
            <w:tcW w:w="2129" w:type="dxa"/>
            <w:tcBorders>
              <w:top w:val="single" w:color="auto" w:sz="4" w:space="0"/>
              <w:left w:val="single" w:color="auto" w:sz="4" w:space="0"/>
              <w:bottom w:val="single" w:color="auto" w:sz="4" w:space="0"/>
              <w:right w:val="single" w:color="auto" w:sz="4"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教学成果</w:t>
            </w:r>
          </w:p>
        </w:tc>
        <w:tc>
          <w:tcPr>
            <w:tcW w:w="10113" w:type="dxa"/>
            <w:tcBorders>
              <w:top w:val="single" w:color="auto" w:sz="4" w:space="0"/>
              <w:left w:val="single" w:color="auto" w:sz="4" w:space="0"/>
              <w:bottom w:val="single" w:color="auto" w:sz="4" w:space="0"/>
              <w:right w:val="single" w:color="auto" w:sz="4"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教师主持过省级特色专业、重点专业、省级精品课程、省级实验教学示范中心等质量工程项目建设；团队教学改革成果显著，获得过国家级、省部级教学成果奖励二等奖以上奖励；获省级立项以来团队承担的省部级以上教学改革项目多、经费多、项目来源级别高；团队公开发表的教学改革论文（著）数量多、质量高，教学改革论文反映出最新的教学研究成果，创新性强。</w:t>
            </w:r>
          </w:p>
        </w:tc>
      </w:tr>
      <w:tr>
        <w:tblPrEx>
          <w:tblCellMar>
            <w:top w:w="0" w:type="dxa"/>
            <w:left w:w="0" w:type="dxa"/>
            <w:bottom w:w="0" w:type="dxa"/>
            <w:right w:w="0" w:type="dxa"/>
          </w:tblCellMar>
        </w:tblPrEx>
        <w:trPr>
          <w:cantSplit/>
          <w:trHeight w:val="1055" w:hRule="atLeast"/>
          <w:jc w:val="center"/>
        </w:trPr>
        <w:tc>
          <w:tcPr>
            <w:tcW w:w="2422" w:type="dxa"/>
            <w:vMerge w:val="continue"/>
            <w:tcBorders>
              <w:left w:val="single" w:color="auto" w:sz="4" w:space="0"/>
              <w:bottom w:val="single" w:color="auto" w:sz="4" w:space="0"/>
              <w:right w:val="single" w:color="auto" w:sz="4" w:space="0"/>
            </w:tcBorders>
            <w:vAlign w:val="center"/>
          </w:tcPr>
          <w:p>
            <w:pPr>
              <w:rPr>
                <w:rFonts w:ascii="仿宋_GB2312" w:eastAsia="仿宋_GB2312"/>
                <w:sz w:val="24"/>
                <w:szCs w:val="24"/>
              </w:rPr>
            </w:pPr>
          </w:p>
        </w:tc>
        <w:tc>
          <w:tcPr>
            <w:tcW w:w="2129" w:type="dxa"/>
            <w:tcBorders>
              <w:top w:val="single" w:color="auto" w:sz="4" w:space="0"/>
              <w:left w:val="single" w:color="auto" w:sz="4" w:space="0"/>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教学改革</w:t>
            </w:r>
          </w:p>
        </w:tc>
        <w:tc>
          <w:tcPr>
            <w:tcW w:w="10113" w:type="dxa"/>
            <w:tcBorders>
              <w:top w:val="single" w:color="auto" w:sz="4" w:space="0"/>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教师积极参加教学改革实践，致力于人才培养模式改革和教学质量提升，团队支持和鼓励教学改革与创新的政策、措施具体有力；教学改革特色鲜明，特色点符合团队建设目标，如团队设置特色、专业特色、课程特色等且具有推广应用价值。</w:t>
            </w:r>
          </w:p>
        </w:tc>
      </w:tr>
      <w:tr>
        <w:tblPrEx>
          <w:tblCellMar>
            <w:top w:w="0" w:type="dxa"/>
            <w:left w:w="0" w:type="dxa"/>
            <w:bottom w:w="0" w:type="dxa"/>
            <w:right w:w="0" w:type="dxa"/>
          </w:tblCellMar>
        </w:tblPrEx>
        <w:trPr>
          <w:cantSplit/>
          <w:trHeight w:val="1499" w:hRule="atLeast"/>
          <w:jc w:val="center"/>
        </w:trPr>
        <w:tc>
          <w:tcPr>
            <w:tcW w:w="2422" w:type="dxa"/>
            <w:vMerge w:val="restart"/>
            <w:tcBorders>
              <w:top w:val="single" w:color="auto" w:sz="4" w:space="0"/>
              <w:left w:val="single" w:color="auto" w:sz="4" w:space="0"/>
              <w:bottom w:val="single" w:color="auto" w:sz="4" w:space="0"/>
              <w:right w:val="single" w:color="auto" w:sz="4"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bCs/>
                <w:sz w:val="24"/>
                <w:szCs w:val="24"/>
              </w:rPr>
              <w:t>4．团队梯队培养与发展规划</w:t>
            </w:r>
          </w:p>
        </w:tc>
        <w:tc>
          <w:tcPr>
            <w:tcW w:w="2129" w:type="dxa"/>
            <w:tcBorders>
              <w:top w:val="nil"/>
              <w:left w:val="single" w:color="auto" w:sz="4" w:space="0"/>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培养中青年教师</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有指导和激励中青年教师提高专业素质和业务水平（包括国内外进修学习、参加各种学术会议、提高社会实践能力）等方面的计划，且科学、措施得力；形成了传帮带的稳定机制，团队建设具有可持续性，青年教师培养成效显著；具备吸引外来教师进修学习的学科（专业）或课程优势，有接受教师进修学习的管理规定、办法，效果好。</w:t>
            </w:r>
          </w:p>
        </w:tc>
      </w:tr>
      <w:tr>
        <w:tblPrEx>
          <w:tblCellMar>
            <w:top w:w="0" w:type="dxa"/>
            <w:left w:w="0" w:type="dxa"/>
            <w:bottom w:w="0" w:type="dxa"/>
            <w:right w:w="0" w:type="dxa"/>
          </w:tblCellMar>
        </w:tblPrEx>
        <w:trPr>
          <w:cantSplit/>
          <w:trHeight w:val="903" w:hRule="atLeast"/>
          <w:jc w:val="center"/>
        </w:trPr>
        <w:tc>
          <w:tcPr>
            <w:tcW w:w="2422"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eastAsia="仿宋_GB2312"/>
                <w:sz w:val="24"/>
                <w:szCs w:val="24"/>
              </w:rPr>
            </w:pPr>
          </w:p>
        </w:tc>
        <w:tc>
          <w:tcPr>
            <w:tcW w:w="2129" w:type="dxa"/>
            <w:tcBorders>
              <w:top w:val="nil"/>
              <w:left w:val="single" w:color="auto" w:sz="4" w:space="0"/>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带动作用</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团队建设目标明确、具体，符合学校发展定位，为学校培养新的省级团队做出探索和贡献，对其他团队建设，具有辐射带动作用。</w:t>
            </w:r>
          </w:p>
        </w:tc>
      </w:tr>
      <w:tr>
        <w:tblPrEx>
          <w:tblCellMar>
            <w:top w:w="0" w:type="dxa"/>
            <w:left w:w="0" w:type="dxa"/>
            <w:bottom w:w="0" w:type="dxa"/>
            <w:right w:w="0" w:type="dxa"/>
          </w:tblCellMar>
        </w:tblPrEx>
        <w:trPr>
          <w:cantSplit/>
          <w:trHeight w:val="739" w:hRule="atLeast"/>
          <w:jc w:val="center"/>
        </w:trPr>
        <w:tc>
          <w:tcPr>
            <w:tcW w:w="2422" w:type="dxa"/>
            <w:vMerge w:val="restart"/>
            <w:tcBorders>
              <w:top w:val="single" w:color="auto" w:sz="4" w:space="0"/>
              <w:left w:val="single" w:color="auto" w:sz="12" w:space="0"/>
              <w:bottom w:val="single" w:color="auto" w:sz="8" w:space="0"/>
              <w:right w:val="single" w:color="auto" w:sz="8"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bCs/>
                <w:sz w:val="24"/>
                <w:szCs w:val="24"/>
              </w:rPr>
              <w:t>5．团队科研与教研</w:t>
            </w: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科研情况</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团队承担的科研项目多、经费多、项目来源级别高；科技成果转化取得显著的社会效益和经济效益；在国内外学术刊物上发表的科研论文数量多，水平高。</w:t>
            </w:r>
          </w:p>
        </w:tc>
      </w:tr>
      <w:tr>
        <w:tblPrEx>
          <w:tblCellMar>
            <w:top w:w="0" w:type="dxa"/>
            <w:left w:w="0" w:type="dxa"/>
            <w:bottom w:w="0" w:type="dxa"/>
            <w:right w:w="0" w:type="dxa"/>
          </w:tblCellMar>
        </w:tblPrEx>
        <w:trPr>
          <w:cantSplit/>
          <w:trHeight w:val="1050" w:hRule="atLeast"/>
          <w:jc w:val="center"/>
        </w:trPr>
        <w:tc>
          <w:tcPr>
            <w:tcW w:w="2422" w:type="dxa"/>
            <w:vMerge w:val="continue"/>
            <w:tcBorders>
              <w:top w:val="nil"/>
              <w:left w:val="single" w:color="auto" w:sz="12" w:space="0"/>
              <w:bottom w:val="single" w:color="auto" w:sz="8" w:space="0"/>
              <w:right w:val="single" w:color="auto" w:sz="8" w:space="0"/>
            </w:tcBorders>
            <w:vAlign w:val="center"/>
          </w:tcPr>
          <w:p>
            <w:pPr>
              <w:rPr>
                <w:rFonts w:ascii="仿宋_GB2312" w:eastAsia="仿宋_GB2312"/>
                <w:sz w:val="24"/>
                <w:szCs w:val="24"/>
              </w:rPr>
            </w:pPr>
          </w:p>
        </w:tc>
        <w:tc>
          <w:tcPr>
            <w:tcW w:w="2129" w:type="dxa"/>
            <w:tcBorders>
              <w:top w:val="nil"/>
              <w:left w:val="nil"/>
              <w:bottom w:val="single" w:color="auto" w:sz="8" w:space="0"/>
              <w:right w:val="single" w:color="auto" w:sz="8" w:space="0"/>
            </w:tcBorders>
            <w:tcMar>
              <w:top w:w="0" w:type="dxa"/>
              <w:left w:w="11" w:type="dxa"/>
              <w:bottom w:w="0" w:type="dxa"/>
              <w:right w:w="11" w:type="dxa"/>
            </w:tcMar>
            <w:vAlign w:val="center"/>
          </w:tcPr>
          <w:p>
            <w:pPr>
              <w:jc w:val="center"/>
              <w:rPr>
                <w:rFonts w:ascii="仿宋_GB2312" w:eastAsia="仿宋_GB2312"/>
                <w:sz w:val="24"/>
                <w:szCs w:val="24"/>
              </w:rPr>
            </w:pPr>
            <w:r>
              <w:rPr>
                <w:rFonts w:hint="eastAsia" w:ascii="仿宋_GB2312" w:eastAsia="仿宋_GB2312"/>
                <w:sz w:val="24"/>
                <w:szCs w:val="24"/>
              </w:rPr>
              <w:t>科研与教学的结合</w:t>
            </w:r>
          </w:p>
        </w:tc>
        <w:tc>
          <w:tcPr>
            <w:tcW w:w="10113" w:type="dxa"/>
            <w:tcBorders>
              <w:top w:val="nil"/>
              <w:left w:val="nil"/>
              <w:bottom w:val="single" w:color="auto" w:sz="8" w:space="0"/>
              <w:right w:val="single" w:color="auto" w:sz="12" w:space="0"/>
            </w:tcBorders>
            <w:tcMar>
              <w:top w:w="0" w:type="dxa"/>
              <w:left w:w="11" w:type="dxa"/>
              <w:bottom w:w="0" w:type="dxa"/>
              <w:right w:w="11" w:type="dxa"/>
            </w:tcMar>
            <w:vAlign w:val="center"/>
          </w:tcPr>
          <w:p>
            <w:pPr>
              <w:rPr>
                <w:rFonts w:ascii="仿宋_GB2312" w:eastAsia="仿宋_GB2312"/>
                <w:sz w:val="24"/>
                <w:szCs w:val="24"/>
              </w:rPr>
            </w:pPr>
            <w:r>
              <w:rPr>
                <w:rFonts w:hint="eastAsia" w:ascii="仿宋_GB2312" w:eastAsia="仿宋_GB2312"/>
                <w:sz w:val="24"/>
                <w:szCs w:val="24"/>
              </w:rPr>
              <w:t>形成了科研促进教学的有效机制，包括组织机构与人员等，为科研转化教学提供了制度保障；科研成果在教学活动中得到应用，科研促进教学作用明显，人才培养效果好。</w:t>
            </w:r>
          </w:p>
        </w:tc>
      </w:tr>
    </w:tbl>
    <w:p>
      <w:pPr>
        <w:rPr>
          <w:rFonts w:ascii="仿宋_GB2312" w:eastAsia="仿宋_GB2312"/>
          <w:sz w:val="24"/>
          <w:szCs w:val="24"/>
        </w:rPr>
      </w:pPr>
    </w:p>
    <w:p>
      <w:pPr>
        <w:jc w:val="center"/>
        <w:rPr>
          <w:rFonts w:ascii="仿宋_GB2312" w:eastAsia="仿宋_GB2312"/>
          <w:b/>
          <w:sz w:val="30"/>
          <w:szCs w:val="30"/>
        </w:rPr>
      </w:pPr>
    </w:p>
    <w:p>
      <w:pPr>
        <w:jc w:val="center"/>
        <w:rPr>
          <w:rFonts w:ascii="仿宋_GB2312" w:eastAsia="仿宋_GB2312"/>
          <w:b/>
          <w:sz w:val="30"/>
          <w:szCs w:val="30"/>
        </w:rPr>
      </w:pPr>
    </w:p>
    <w:p>
      <w:pPr>
        <w:jc w:val="center"/>
        <w:rPr>
          <w:rFonts w:ascii="仿宋_GB2312" w:eastAsia="仿宋_GB2312"/>
          <w:b/>
          <w:sz w:val="30"/>
          <w:szCs w:val="30"/>
        </w:rPr>
      </w:pPr>
    </w:p>
    <w:p>
      <w:pPr>
        <w:jc w:val="center"/>
        <w:rPr>
          <w:rFonts w:ascii="仿宋_GB2312" w:eastAsia="仿宋_GB2312"/>
          <w:b/>
          <w:sz w:val="30"/>
          <w:szCs w:val="30"/>
        </w:rPr>
      </w:pPr>
    </w:p>
    <w:p>
      <w:pPr>
        <w:rPr>
          <w:rFonts w:ascii="仿宋_GB2312" w:eastAsia="仿宋_GB2312"/>
          <w:sz w:val="24"/>
          <w:szCs w:val="24"/>
        </w:rPr>
      </w:pPr>
    </w:p>
    <w:sectPr>
      <w:pgSz w:w="16838" w:h="11906" w:orient="landscape"/>
      <w:pgMar w:top="964" w:right="964" w:bottom="964"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94552"/>
    <w:multiLevelType w:val="multilevel"/>
    <w:tmpl w:val="30394552"/>
    <w:lvl w:ilvl="0" w:tentative="0">
      <w:start w:val="1"/>
      <w:numFmt w:val="decimalEnclosedFullstop"/>
      <w:lvlText w:val="%1"/>
      <w:lvlJc w:val="left"/>
      <w:pPr>
        <w:ind w:left="360" w:hanging="360"/>
      </w:pPr>
      <w:rPr>
        <w:rFonts w:hint="default" w:ascii="仿宋_GB2312" w:eastAsia="仿宋_GB2312"/>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7E3"/>
    <w:rsid w:val="00092DE0"/>
    <w:rsid w:val="001D2EB0"/>
    <w:rsid w:val="001F638B"/>
    <w:rsid w:val="00201452"/>
    <w:rsid w:val="0021290D"/>
    <w:rsid w:val="0023620F"/>
    <w:rsid w:val="002B27E5"/>
    <w:rsid w:val="003174FD"/>
    <w:rsid w:val="0035607D"/>
    <w:rsid w:val="00356FA2"/>
    <w:rsid w:val="0039406F"/>
    <w:rsid w:val="003B01CD"/>
    <w:rsid w:val="003D0571"/>
    <w:rsid w:val="0043632B"/>
    <w:rsid w:val="00463111"/>
    <w:rsid w:val="004C1B88"/>
    <w:rsid w:val="004D34C2"/>
    <w:rsid w:val="004E2D74"/>
    <w:rsid w:val="00534047"/>
    <w:rsid w:val="00550E6D"/>
    <w:rsid w:val="005C5517"/>
    <w:rsid w:val="005D06DD"/>
    <w:rsid w:val="006473DA"/>
    <w:rsid w:val="00656174"/>
    <w:rsid w:val="00690A3F"/>
    <w:rsid w:val="0069372A"/>
    <w:rsid w:val="00700C15"/>
    <w:rsid w:val="00707CD8"/>
    <w:rsid w:val="007467F2"/>
    <w:rsid w:val="00755012"/>
    <w:rsid w:val="007F2AF7"/>
    <w:rsid w:val="007F7577"/>
    <w:rsid w:val="0086451A"/>
    <w:rsid w:val="008924DF"/>
    <w:rsid w:val="00924532"/>
    <w:rsid w:val="009437E3"/>
    <w:rsid w:val="0096291F"/>
    <w:rsid w:val="00973FEF"/>
    <w:rsid w:val="009A688C"/>
    <w:rsid w:val="00A03F81"/>
    <w:rsid w:val="00B27C10"/>
    <w:rsid w:val="00B601D4"/>
    <w:rsid w:val="00B72EC2"/>
    <w:rsid w:val="00B75F22"/>
    <w:rsid w:val="00B7695D"/>
    <w:rsid w:val="00BB51B6"/>
    <w:rsid w:val="00C05194"/>
    <w:rsid w:val="00C42F7E"/>
    <w:rsid w:val="00C83447"/>
    <w:rsid w:val="00C9318F"/>
    <w:rsid w:val="00CF0872"/>
    <w:rsid w:val="00CF5F00"/>
    <w:rsid w:val="00DB2E19"/>
    <w:rsid w:val="00DD7571"/>
    <w:rsid w:val="00DE353A"/>
    <w:rsid w:val="00DF68DE"/>
    <w:rsid w:val="00F56751"/>
    <w:rsid w:val="00FD0027"/>
    <w:rsid w:val="20A6515E"/>
    <w:rsid w:val="311A3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NGXBYYX</Company>
  <Pages>2</Pages>
  <Words>222</Words>
  <Characters>1266</Characters>
  <Lines>10</Lines>
  <Paragraphs>2</Paragraphs>
  <TotalTime>1</TotalTime>
  <ScaleCrop>false</ScaleCrop>
  <LinksUpToDate>false</LinksUpToDate>
  <CharactersWithSpaces>1486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2017-06-20T09:37:00Z</dcterms:created>
  <dc:creator>րଡ଼</dc:creator>
  <cp:lastModifiedBy>Administrator</cp:lastModifiedBy>
  <cp:lastPrinted>2017-06-23T03:44:00Z</cp:lastPrinted>
  <dcterms:modified xsi:type="dcterms:W3CDTF">2020-09-28T09:22:14Z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